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C279592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1A6926">
        <w:rPr>
          <w:rFonts w:asciiTheme="minorHAnsi" w:hAnsiTheme="minorHAnsi" w:cstheme="minorHAnsi"/>
          <w:b/>
          <w:bCs/>
          <w:sz w:val="20"/>
          <w:szCs w:val="20"/>
        </w:rPr>
        <w:t xml:space="preserve">MEDINATUR CZ s.r.o., </w:t>
      </w:r>
      <w:r w:rsidR="0092173B" w:rsidRPr="0092173B">
        <w:rPr>
          <w:rFonts w:asciiTheme="minorHAnsi" w:hAnsiTheme="minorHAnsi" w:cstheme="minorHAnsi"/>
          <w:b/>
          <w:bCs/>
          <w:sz w:val="20"/>
          <w:szCs w:val="20"/>
        </w:rPr>
        <w:t>Bucharova 2641/14, Stodůlky, 158 00 Praha 5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A6926"/>
    <w:rsid w:val="002B5156"/>
    <w:rsid w:val="00677F13"/>
    <w:rsid w:val="007157A5"/>
    <w:rsid w:val="0092173B"/>
    <w:rsid w:val="00D47D5F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2024-05-23T12:15:00Z</dcterms:created>
  <dcterms:modified xsi:type="dcterms:W3CDTF">2024-05-23T12:15:00Z</dcterms:modified>
</cp:coreProperties>
</file>